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71B" w:rsidRDefault="00AD6C91">
      <w:pPr>
        <w:jc w:val="left"/>
        <w:rPr>
          <w:rFonts w:ascii="黑体" w:eastAsia="黑体" w:hAnsi="黑体" w:cs="黑体"/>
          <w:sz w:val="32"/>
          <w:szCs w:val="32"/>
        </w:rPr>
      </w:pPr>
      <w:r>
        <w:rPr>
          <w:rFonts w:ascii="黑体" w:eastAsia="黑体" w:hAnsi="黑体" w:cs="黑体" w:hint="eastAsia"/>
          <w:sz w:val="32"/>
          <w:szCs w:val="32"/>
        </w:rPr>
        <w:t>附件2</w:t>
      </w:r>
    </w:p>
    <w:p w:rsidR="0019571B" w:rsidRDefault="00AD6C91">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省级用票单位非税票据系统实施流程须知</w:t>
      </w:r>
    </w:p>
    <w:p w:rsidR="0019571B" w:rsidRDefault="0019571B">
      <w:pPr>
        <w:rPr>
          <w:rFonts w:ascii="仿宋" w:eastAsia="仿宋" w:hAnsi="仿宋" w:cs="仿宋"/>
          <w:sz w:val="32"/>
          <w:szCs w:val="32"/>
        </w:rPr>
      </w:pPr>
    </w:p>
    <w:p w:rsidR="0019571B" w:rsidRDefault="00AD6C91">
      <w:pPr>
        <w:ind w:firstLineChars="200" w:firstLine="640"/>
        <w:rPr>
          <w:rFonts w:ascii="黑体" w:eastAsia="黑体" w:hAnsi="黑体" w:cs="黑体"/>
          <w:sz w:val="32"/>
          <w:szCs w:val="32"/>
        </w:rPr>
      </w:pPr>
      <w:r>
        <w:rPr>
          <w:rFonts w:ascii="黑体" w:eastAsia="黑体" w:hAnsi="黑体" w:cs="黑体" w:hint="eastAsia"/>
          <w:sz w:val="32"/>
          <w:szCs w:val="32"/>
        </w:rPr>
        <w:t>一、提交材料、申领数字证书</w:t>
      </w:r>
    </w:p>
    <w:p w:rsidR="0019571B" w:rsidRDefault="00AD6C91">
      <w:pPr>
        <w:rPr>
          <w:rFonts w:ascii="仿宋" w:eastAsia="仿宋" w:hAnsi="仿宋" w:cs="仿宋"/>
          <w:sz w:val="32"/>
          <w:szCs w:val="32"/>
        </w:rPr>
      </w:pPr>
      <w:r>
        <w:rPr>
          <w:rFonts w:ascii="仿宋" w:eastAsia="仿宋" w:hAnsi="仿宋" w:cs="仿宋" w:hint="eastAsia"/>
          <w:sz w:val="32"/>
          <w:szCs w:val="32"/>
        </w:rPr>
        <w:t xml:space="preserve">    “福建省非税收入和财政票据综合管理系统”（以下简称非税票据系统）依托省经济信息中心制作颁发数字证书，单位可复用采购系统数字证书。</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（一）用票单位至票据所窗口现场领取申请材料或自行登陆福建省经济信息中心网站（xxzx.fujian.gov.cn）-办事服务-办事指南-福建省政务数字证书办理指南，下载申请材料。</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（二）单位向票据所提交的申请材料包括：单位红头申请函、机构（单位）数字证书申请表。</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（三）申请材料由票据所汇总后提交至福建省经济信息中心制作数字证书（CA）,制作完成后由票据所通知单位前来领取。</w:t>
      </w:r>
    </w:p>
    <w:p w:rsidR="0019571B" w:rsidRDefault="00AD6C91">
      <w:pPr>
        <w:ind w:firstLineChars="200" w:firstLine="643"/>
        <w:rPr>
          <w:rFonts w:ascii="仿宋" w:eastAsia="仿宋" w:hAnsi="仿宋" w:cs="仿宋"/>
          <w:b/>
          <w:bCs/>
          <w:sz w:val="32"/>
          <w:szCs w:val="32"/>
        </w:rPr>
      </w:pPr>
      <w:r>
        <w:rPr>
          <w:rFonts w:ascii="仿宋" w:eastAsia="仿宋" w:hAnsi="仿宋" w:cs="仿宋" w:hint="eastAsia"/>
          <w:b/>
          <w:bCs/>
          <w:sz w:val="32"/>
          <w:szCs w:val="32"/>
        </w:rPr>
        <w:t>填表注意事项：</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1.关于数字证书类型</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（1）系统对接的单位填写机构（单位）数字证书申请表，申请数字证书类型为设备（服务器）证书；</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（2）只有一个开票点的单位填写机构（单位）数字证书申请表，申请数字证书类型为USB KEY证书；</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lastRenderedPageBreak/>
        <w:t>（3）多个开票点的单位填写多张机构（单位）数字证书申请表，每个开票点填一张申请表，每张申请表中的数字证书名称均不一样，并且在单位红头申请函里注明申请的总枚数，申请数字证书类型为USB KEY证书。</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2.申请原因填写：“福建省非税收入收缴电子化和财政票据综合管理系统开票、缴款等业务的需求”。</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3.机构（单位）数字证书申请表中数字证书名称填写：“单位名称（财政票据）”。</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4.证书应用范围勾选“电子公文”。</w:t>
      </w:r>
    </w:p>
    <w:p w:rsidR="0019571B" w:rsidRDefault="00AD6C91">
      <w:pPr>
        <w:ind w:firstLineChars="200" w:firstLine="643"/>
        <w:rPr>
          <w:rFonts w:ascii="仿宋" w:eastAsia="仿宋" w:hAnsi="仿宋" w:cs="仿宋"/>
          <w:sz w:val="32"/>
          <w:szCs w:val="32"/>
        </w:rPr>
      </w:pPr>
      <w:r>
        <w:rPr>
          <w:rFonts w:ascii="仿宋" w:eastAsia="仿宋" w:hAnsi="仿宋" w:cs="仿宋" w:hint="eastAsia"/>
          <w:b/>
          <w:bCs/>
          <w:sz w:val="32"/>
          <w:szCs w:val="32"/>
        </w:rPr>
        <w:t>注意：</w:t>
      </w:r>
      <w:r>
        <w:rPr>
          <w:rFonts w:ascii="仿宋" w:eastAsia="仿宋" w:hAnsi="仿宋" w:cs="仿宋" w:hint="eastAsia"/>
          <w:sz w:val="32"/>
          <w:szCs w:val="32"/>
        </w:rPr>
        <w:t>单位升级使用电子票据后，原合法有效的开票项目原则上保持不变，并在</w:t>
      </w:r>
      <w:r>
        <w:rPr>
          <w:rFonts w:ascii="仿宋" w:eastAsia="仿宋" w:hAnsi="仿宋" w:cs="仿宋" w:hint="eastAsia"/>
          <w:b/>
          <w:bCs/>
          <w:sz w:val="32"/>
          <w:szCs w:val="32"/>
        </w:rPr>
        <w:t>1个月内</w:t>
      </w:r>
      <w:r>
        <w:rPr>
          <w:rFonts w:ascii="仿宋" w:eastAsia="仿宋" w:hAnsi="仿宋" w:cs="仿宋" w:hint="eastAsia"/>
          <w:sz w:val="32"/>
          <w:szCs w:val="32"/>
        </w:rPr>
        <w:t>将原剩余的空白纸质票据剪角作废，同时在网络版票据系统中操作批量作废。</w:t>
      </w:r>
    </w:p>
    <w:p w:rsidR="0019571B" w:rsidRDefault="00AD6C91">
      <w:pPr>
        <w:ind w:firstLineChars="200" w:firstLine="640"/>
        <w:rPr>
          <w:rFonts w:ascii="黑体" w:eastAsia="黑体" w:hAnsi="黑体" w:cs="黑体"/>
          <w:sz w:val="32"/>
          <w:szCs w:val="32"/>
        </w:rPr>
      </w:pPr>
      <w:r>
        <w:rPr>
          <w:rFonts w:ascii="黑体" w:eastAsia="黑体" w:hAnsi="黑体" w:cs="黑体" w:hint="eastAsia"/>
          <w:sz w:val="32"/>
          <w:szCs w:val="32"/>
        </w:rPr>
        <w:t>二、确定系统使用模式</w:t>
      </w:r>
    </w:p>
    <w:p w:rsidR="0019571B" w:rsidRDefault="00AD6C91">
      <w:pPr>
        <w:rPr>
          <w:rFonts w:ascii="仿宋" w:eastAsia="仿宋" w:hAnsi="仿宋" w:cs="仿宋"/>
          <w:sz w:val="32"/>
          <w:szCs w:val="32"/>
        </w:rPr>
      </w:pPr>
      <w:r>
        <w:rPr>
          <w:rFonts w:ascii="仿宋" w:eastAsia="仿宋" w:hAnsi="仿宋" w:cs="仿宋" w:hint="eastAsia"/>
          <w:sz w:val="32"/>
          <w:szCs w:val="32"/>
        </w:rPr>
        <w:t xml:space="preserve">    单位端系统使用模式分为在线登录（网页开票）和系统对接（前置接口和在线接口）。用票单位根据自身情况确定系统使用模式。</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（一）在线登录：指用票单位以CA-UKEY 或账号密码方式在线登录网页系统进行收缴开票管理。适用于绝大多数、不需要单位业务系统与非税票据系统对接的用票单位。</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（二）系统对接：指用票单位业务系统与财政非税票据系统对接进行收缴开票管理。财政提供在线接口和前置接口。</w:t>
      </w:r>
    </w:p>
    <w:p w:rsidR="0019571B" w:rsidRDefault="00AD6C91">
      <w:pPr>
        <w:rPr>
          <w:rFonts w:ascii="仿宋" w:eastAsia="仿宋" w:hAnsi="仿宋" w:cs="仿宋"/>
          <w:sz w:val="32"/>
          <w:szCs w:val="32"/>
        </w:rPr>
      </w:pPr>
      <w:r>
        <w:rPr>
          <w:rFonts w:ascii="仿宋" w:eastAsia="仿宋" w:hAnsi="仿宋" w:cs="仿宋" w:hint="eastAsia"/>
          <w:sz w:val="32"/>
          <w:szCs w:val="32"/>
        </w:rPr>
        <w:t xml:space="preserve">    1.在线接口：指单位业务系统按照财政统一报文规范与</w:t>
      </w:r>
      <w:r>
        <w:rPr>
          <w:rFonts w:ascii="仿宋" w:eastAsia="仿宋" w:hAnsi="仿宋" w:cs="仿宋" w:hint="eastAsia"/>
          <w:sz w:val="32"/>
          <w:szCs w:val="32"/>
        </w:rPr>
        <w:lastRenderedPageBreak/>
        <w:t>财政非税票据系统实时连接收缴开票。</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2.前置接口：指单位业务系统按照财政统一报文规范与部署在单位的财政开票前置程序对接进行收缴开票，适用于存在网络环境要求高、多窗口多业务并发办理、开票实时性要求较高的单位。</w:t>
      </w:r>
    </w:p>
    <w:p w:rsidR="0019571B" w:rsidRDefault="00AD6C91">
      <w:pPr>
        <w:ind w:firstLine="420"/>
        <w:rPr>
          <w:rFonts w:ascii="黑体" w:eastAsia="黑体" w:hAnsi="黑体" w:cs="黑体"/>
          <w:sz w:val="32"/>
          <w:szCs w:val="32"/>
        </w:rPr>
      </w:pPr>
      <w:r>
        <w:rPr>
          <w:rFonts w:ascii="黑体" w:eastAsia="黑体" w:hAnsi="黑体" w:cs="黑体" w:hint="eastAsia"/>
          <w:sz w:val="32"/>
          <w:szCs w:val="32"/>
        </w:rPr>
        <w:t>三、系统对接单位制定系统对接方案并经省财政厅审核 （在线登录单位忽略）</w:t>
      </w:r>
    </w:p>
    <w:p w:rsidR="0019571B" w:rsidRDefault="00AD6C91">
      <w:pPr>
        <w:ind w:firstLine="420"/>
        <w:rPr>
          <w:rFonts w:ascii="黑体" w:eastAsia="黑体" w:hAnsi="黑体" w:cs="黑体"/>
          <w:sz w:val="32"/>
          <w:szCs w:val="32"/>
        </w:rPr>
      </w:pPr>
      <w:r>
        <w:rPr>
          <w:rFonts w:ascii="黑体" w:eastAsia="黑体" w:hAnsi="黑体" w:cs="黑体" w:hint="eastAsia"/>
          <w:sz w:val="32"/>
          <w:szCs w:val="32"/>
        </w:rPr>
        <w:t>四、系统对接单位根据省财政制定的统一对接报文规范进行对接开发（在线登录单位忽略）</w:t>
      </w:r>
    </w:p>
    <w:p w:rsidR="0019571B" w:rsidRDefault="00AD6C91">
      <w:pPr>
        <w:ind w:firstLine="420"/>
        <w:rPr>
          <w:rFonts w:ascii="黑体" w:eastAsia="黑体" w:hAnsi="黑体" w:cs="黑体"/>
          <w:sz w:val="32"/>
          <w:szCs w:val="32"/>
        </w:rPr>
      </w:pPr>
      <w:r>
        <w:rPr>
          <w:rFonts w:ascii="黑体" w:eastAsia="黑体" w:hAnsi="黑体" w:cs="黑体" w:hint="eastAsia"/>
          <w:sz w:val="32"/>
          <w:szCs w:val="32"/>
        </w:rPr>
        <w:t>五、领取CA 数字证书，系统对接单位准备CA签名服务器</w:t>
      </w:r>
    </w:p>
    <w:p w:rsidR="0019571B" w:rsidRDefault="00AD6C91">
      <w:pPr>
        <w:ind w:firstLine="420"/>
        <w:rPr>
          <w:rFonts w:ascii="黑体" w:eastAsia="黑体" w:hAnsi="黑体" w:cs="黑体"/>
          <w:sz w:val="32"/>
          <w:szCs w:val="32"/>
        </w:rPr>
      </w:pPr>
      <w:r>
        <w:rPr>
          <w:rFonts w:ascii="黑体" w:eastAsia="黑体" w:hAnsi="黑体" w:cs="黑体" w:hint="eastAsia"/>
          <w:sz w:val="32"/>
          <w:szCs w:val="32"/>
        </w:rPr>
        <w:t xml:space="preserve">六、通知技术人员安装实施，系统对接单位提交接口联调申请，联调通过后上线 </w:t>
      </w:r>
    </w:p>
    <w:p w:rsidR="0019571B" w:rsidRDefault="00AD6C91">
      <w:pPr>
        <w:ind w:firstLine="420"/>
        <w:rPr>
          <w:rFonts w:ascii="黑体" w:eastAsia="黑体" w:hAnsi="黑体" w:cs="黑体"/>
          <w:sz w:val="32"/>
          <w:szCs w:val="32"/>
        </w:rPr>
      </w:pPr>
      <w:r>
        <w:rPr>
          <w:rFonts w:ascii="黑体" w:eastAsia="黑体" w:hAnsi="黑体" w:cs="黑体" w:hint="eastAsia"/>
          <w:sz w:val="32"/>
          <w:szCs w:val="32"/>
        </w:rPr>
        <w:t xml:space="preserve">七、系统内登录向财政申领电子票据后进行收缴开票 </w:t>
      </w:r>
    </w:p>
    <w:p w:rsidR="0019571B" w:rsidRDefault="0019571B">
      <w:pPr>
        <w:ind w:firstLineChars="200" w:firstLine="640"/>
        <w:rPr>
          <w:rFonts w:ascii="黑体" w:eastAsia="黑体" w:hAnsi="黑体" w:cs="黑体"/>
          <w:sz w:val="32"/>
          <w:szCs w:val="32"/>
        </w:rPr>
      </w:pPr>
    </w:p>
    <w:p w:rsidR="0019571B" w:rsidRDefault="00AD6C91">
      <w:pPr>
        <w:ind w:firstLineChars="100" w:firstLine="320"/>
        <w:rPr>
          <w:rFonts w:ascii="黑体" w:eastAsia="黑体" w:hAnsi="黑体" w:cs="黑体"/>
          <w:sz w:val="32"/>
          <w:szCs w:val="32"/>
        </w:rPr>
      </w:pPr>
      <w:r>
        <w:rPr>
          <w:rFonts w:ascii="黑体" w:eastAsia="黑体" w:hAnsi="黑体" w:cs="黑体" w:hint="eastAsia"/>
          <w:sz w:val="32"/>
          <w:szCs w:val="32"/>
        </w:rPr>
        <w:t>相关联系方式</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 xml:space="preserve">1.省财政厅票据所：87097460、87097862  </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2.技术实施人员：郑燊 87097266，18950499051</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 xml:space="preserve">                胡增铭 18950287096</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 xml:space="preserve">                王磊   13489198186</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19571B" w:rsidRDefault="00AD6C91">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19571B" w:rsidRDefault="0019571B">
      <w:pPr>
        <w:ind w:firstLine="420"/>
        <w:rPr>
          <w:rFonts w:ascii="仿宋" w:eastAsia="仿宋" w:hAnsi="仿宋" w:cs="仿宋"/>
          <w:sz w:val="32"/>
          <w:szCs w:val="32"/>
        </w:rPr>
      </w:pPr>
    </w:p>
    <w:sectPr w:rsidR="0019571B" w:rsidSect="00844E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23B" w:rsidRDefault="00B0323B" w:rsidP="00B0323B">
      <w:r>
        <w:separator/>
      </w:r>
    </w:p>
  </w:endnote>
  <w:endnote w:type="continuationSeparator" w:id="0">
    <w:p w:rsidR="00B0323B" w:rsidRDefault="00B0323B" w:rsidP="00B03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23B" w:rsidRDefault="00B0323B" w:rsidP="00B0323B">
      <w:r>
        <w:separator/>
      </w:r>
    </w:p>
  </w:footnote>
  <w:footnote w:type="continuationSeparator" w:id="0">
    <w:p w:rsidR="00B0323B" w:rsidRDefault="00B0323B" w:rsidP="00B032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571B"/>
    <w:rsid w:val="000A788C"/>
    <w:rsid w:val="0019571B"/>
    <w:rsid w:val="004C03C5"/>
    <w:rsid w:val="005D1362"/>
    <w:rsid w:val="00844EE4"/>
    <w:rsid w:val="00871EFD"/>
    <w:rsid w:val="00AD6C91"/>
    <w:rsid w:val="00B0323B"/>
    <w:rsid w:val="00DF36FC"/>
    <w:rsid w:val="00F977C7"/>
    <w:rsid w:val="186E7058"/>
    <w:rsid w:val="1E4C7698"/>
    <w:rsid w:val="1EA21648"/>
    <w:rsid w:val="2C7245BE"/>
    <w:rsid w:val="31712A8B"/>
    <w:rsid w:val="345167E9"/>
    <w:rsid w:val="360169EE"/>
    <w:rsid w:val="36BC275B"/>
    <w:rsid w:val="5E78150C"/>
    <w:rsid w:val="60B24B68"/>
    <w:rsid w:val="62B45D9B"/>
    <w:rsid w:val="66884304"/>
    <w:rsid w:val="6A042DA5"/>
    <w:rsid w:val="747D2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4EE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3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323B"/>
    <w:rPr>
      <w:rFonts w:asciiTheme="minorHAnsi" w:eastAsiaTheme="minorEastAsia" w:hAnsiTheme="minorHAnsi" w:cstheme="minorBidi"/>
      <w:kern w:val="2"/>
      <w:sz w:val="18"/>
      <w:szCs w:val="18"/>
    </w:rPr>
  </w:style>
  <w:style w:type="paragraph" w:styleId="a4">
    <w:name w:val="footer"/>
    <w:basedOn w:val="a"/>
    <w:link w:val="Char0"/>
    <w:rsid w:val="00B0323B"/>
    <w:pPr>
      <w:tabs>
        <w:tab w:val="center" w:pos="4153"/>
        <w:tab w:val="right" w:pos="8306"/>
      </w:tabs>
      <w:snapToGrid w:val="0"/>
      <w:jc w:val="left"/>
    </w:pPr>
    <w:rPr>
      <w:sz w:val="18"/>
      <w:szCs w:val="18"/>
    </w:rPr>
  </w:style>
  <w:style w:type="character" w:customStyle="1" w:styleId="Char0">
    <w:name w:val="页脚 Char"/>
    <w:basedOn w:val="a0"/>
    <w:link w:val="a4"/>
    <w:rsid w:val="00B0323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202</Words>
  <Characters>1152</Characters>
  <Application>Microsoft Office Word</Application>
  <DocSecurity>0</DocSecurity>
  <Lines>9</Lines>
  <Paragraphs>2</Paragraphs>
  <ScaleCrop>false</ScaleCrop>
  <Company>Microsoft</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管理员</cp:lastModifiedBy>
  <cp:revision>3</cp:revision>
  <cp:lastPrinted>2020-09-25T01:37:00Z</cp:lastPrinted>
  <dcterms:created xsi:type="dcterms:W3CDTF">2020-09-25T01:37:00Z</dcterms:created>
  <dcterms:modified xsi:type="dcterms:W3CDTF">2020-09-25T01:37:00Z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